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9320" w14:textId="77777777" w:rsidR="006E0EBC" w:rsidRDefault="006E0EBC" w:rsidP="006E0EBC">
      <w:pPr>
        <w:jc w:val="center"/>
        <w:rPr>
          <w:rFonts w:ascii="Times New Roman" w:hAnsi="Times New Roman" w:cs="Times New Roman"/>
          <w:b/>
          <w:bCs/>
        </w:rPr>
      </w:pPr>
      <w:r w:rsidRPr="002F5A03">
        <w:rPr>
          <w:noProof/>
        </w:rPr>
        <w:drawing>
          <wp:inline distT="0" distB="0" distL="0" distR="0" wp14:anchorId="514D14E4" wp14:editId="15275ACD">
            <wp:extent cx="1619250" cy="122343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1612" cy="122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93CA5" w14:textId="77777777" w:rsidR="006E0EBC" w:rsidRDefault="006E0EBC" w:rsidP="006E0EBC">
      <w:pPr>
        <w:jc w:val="center"/>
        <w:rPr>
          <w:rFonts w:ascii="Times New Roman" w:hAnsi="Times New Roman" w:cs="Times New Roman"/>
          <w:b/>
          <w:bCs/>
        </w:rPr>
      </w:pPr>
    </w:p>
    <w:p w14:paraId="02B84FE6" w14:textId="77777777" w:rsidR="006E0EBC" w:rsidRPr="00DC1620" w:rsidRDefault="006E0EBC" w:rsidP="006E0EBC">
      <w:pPr>
        <w:jc w:val="center"/>
        <w:rPr>
          <w:rFonts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DC1620">
        <w:rPr>
          <w:rFonts w:cstheme="minorHAnsi"/>
          <w:b/>
          <w:bCs/>
        </w:rPr>
        <w:t>TB Chawton Global Equity Income Fund</w:t>
      </w:r>
    </w:p>
    <w:p w14:paraId="73DDE8BE" w14:textId="77777777" w:rsidR="006E0EBC" w:rsidRPr="00DC1620" w:rsidRDefault="006E0EBC" w:rsidP="006E0EBC">
      <w:pPr>
        <w:jc w:val="center"/>
        <w:rPr>
          <w:rFonts w:cstheme="minorHAnsi"/>
          <w:b/>
          <w:bCs/>
        </w:rPr>
      </w:pPr>
      <w:r w:rsidRPr="00DC1620">
        <w:rPr>
          <w:rFonts w:cstheme="minorHAnsi"/>
          <w:b/>
          <w:bCs/>
        </w:rPr>
        <w:t>Confirmed Distribution/Accumulation rates</w:t>
      </w:r>
      <w:r w:rsidRPr="00DC1620">
        <w:rPr>
          <w:rStyle w:val="FootnoteReference"/>
          <w:rFonts w:cstheme="minorHAnsi"/>
          <w:b/>
          <w:bCs/>
        </w:rPr>
        <w:footnoteReference w:id="1"/>
      </w:r>
      <w:r w:rsidRPr="00DC1620">
        <w:rPr>
          <w:rFonts w:cstheme="minorHAnsi"/>
          <w:b/>
          <w:bCs/>
        </w:rPr>
        <w:t xml:space="preserve"> from Inception to Q</w:t>
      </w:r>
      <w:r>
        <w:rPr>
          <w:rFonts w:cstheme="minorHAnsi"/>
          <w:b/>
          <w:bCs/>
        </w:rPr>
        <w:t>3</w:t>
      </w:r>
      <w:r w:rsidRPr="00DC1620">
        <w:rPr>
          <w:rFonts w:cstheme="minorHAnsi"/>
          <w:b/>
          <w:bCs/>
        </w:rPr>
        <w:t xml:space="preserve"> 2022 by Year</w:t>
      </w:r>
    </w:p>
    <w:p w14:paraId="2336B817" w14:textId="77777777" w:rsidR="006E0EBC" w:rsidRPr="0068514F" w:rsidRDefault="006E0EBC" w:rsidP="006E0E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410687" w14:textId="77777777" w:rsidR="006E0EBC" w:rsidRDefault="006E0EBC" w:rsidP="006E0E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A4170D" w14:textId="77777777" w:rsidR="006E0EBC" w:rsidRDefault="006E0EBC" w:rsidP="006E0E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14F">
        <w:rPr>
          <w:rFonts w:ascii="Times New Roman" w:hAnsi="Times New Roman" w:cs="Times New Roman"/>
          <w:b/>
          <w:bCs/>
          <w:sz w:val="20"/>
          <w:szCs w:val="20"/>
        </w:rPr>
        <w:t>B Class Shares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(pence/cents per share)</w:t>
      </w:r>
    </w:p>
    <w:p w14:paraId="7415156D" w14:textId="77777777" w:rsidR="006E0EBC" w:rsidRPr="0068514F" w:rsidRDefault="006E0EBC" w:rsidP="006E0E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PlainTable1"/>
        <w:tblW w:w="104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9"/>
        <w:gridCol w:w="1559"/>
        <w:gridCol w:w="1544"/>
        <w:gridCol w:w="1418"/>
        <w:gridCol w:w="1417"/>
        <w:gridCol w:w="1418"/>
      </w:tblGrid>
      <w:tr w:rsidR="006E0EBC" w:rsidRPr="00DC1620" w14:paraId="71F8EAE9" w14:textId="77777777" w:rsidTr="00EC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7E3F047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Distribution Period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E85D366" w14:textId="77777777" w:rsidR="006E0EBC" w:rsidRPr="00DC1620" w:rsidRDefault="006E0EBC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GBP Income</w:t>
            </w:r>
          </w:p>
          <w:p w14:paraId="5F0BB057" w14:textId="77777777" w:rsidR="006E0EBC" w:rsidRPr="00DC1620" w:rsidRDefault="006E0EBC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E78F3F6" w14:textId="77777777" w:rsidR="006E0EBC" w:rsidRPr="00DC1620" w:rsidRDefault="006E0EBC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USD Income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613415F5" w14:textId="77777777" w:rsidR="006E0EBC" w:rsidRPr="00DC1620" w:rsidRDefault="006E0EBC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EUR Income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263B3FEE" w14:textId="77777777" w:rsidR="006E0EBC" w:rsidRPr="00DC1620" w:rsidRDefault="006E0EBC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GBP Accumulation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4A1064D4" w14:textId="77777777" w:rsidR="006E0EBC" w:rsidRPr="00DC1620" w:rsidRDefault="006E0EBC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B USD Accumulation</w:t>
            </w:r>
          </w:p>
        </w:tc>
      </w:tr>
      <w:tr w:rsidR="006E0EBC" w:rsidRPr="00DC1620" w14:paraId="7C3D3C17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558DAF0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2019</w:t>
            </w:r>
            <w:r w:rsidRPr="00DC1620">
              <w:rPr>
                <w:rStyle w:val="FootnoteReference"/>
                <w:rFonts w:cstheme="minorHAnsi"/>
                <w:b w:val="0"/>
                <w:bCs w:val="0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CD41169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0.78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ACDC76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0.76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926352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0.92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F9336E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0.76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36D95B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not active</w:t>
            </w:r>
          </w:p>
        </w:tc>
      </w:tr>
      <w:tr w:rsidR="006E0EBC" w:rsidRPr="00DC1620" w14:paraId="35D2918F" w14:textId="77777777" w:rsidTr="00EC52D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373BDC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6004A5A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2.20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3139F6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2.21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F894EFC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1A7F15D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2.24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E35222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not active</w:t>
            </w:r>
          </w:p>
        </w:tc>
      </w:tr>
      <w:tr w:rsidR="006E0EBC" w:rsidRPr="00DC1620" w14:paraId="6B41B361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26DF0F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48208E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2.71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A15ED30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2.93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638F8D1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2.80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AE5479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2.81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EB8B09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2.44</w:t>
            </w:r>
          </w:p>
        </w:tc>
      </w:tr>
      <w:tr w:rsidR="006E0EBC" w:rsidRPr="00DC1620" w14:paraId="3ABB2C4D" w14:textId="77777777" w:rsidTr="00EC52D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8B8BA5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Q1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791913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0.78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6C3C978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14B2B8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192A89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181C6FA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0.82</w:t>
            </w:r>
          </w:p>
        </w:tc>
      </w:tr>
      <w:tr w:rsidR="006E0EBC" w:rsidRPr="00DC1620" w14:paraId="0321FA1D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9F6AC0" w14:textId="77777777" w:rsidR="006E0EBC" w:rsidRPr="006A67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A6720">
              <w:rPr>
                <w:rFonts w:cstheme="minorHAnsi"/>
                <w:b w:val="0"/>
                <w:bCs w:val="0"/>
                <w:sz w:val="20"/>
                <w:szCs w:val="20"/>
              </w:rPr>
              <w:t>Q2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CF2D5B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1.01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E0BBB39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31A5845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4B90B61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9F690E7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0.99</w:t>
            </w:r>
          </w:p>
        </w:tc>
      </w:tr>
      <w:tr w:rsidR="006E0EBC" w:rsidRPr="00DC1620" w14:paraId="72776127" w14:textId="77777777" w:rsidTr="00EC52D4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984D851" w14:textId="77777777" w:rsidR="006E0EBC" w:rsidRPr="005732B2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732B2">
              <w:rPr>
                <w:rFonts w:cstheme="minorHAnsi"/>
                <w:b w:val="0"/>
                <w:bCs w:val="0"/>
                <w:sz w:val="20"/>
                <w:szCs w:val="20"/>
              </w:rPr>
              <w:t>Q3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86B7499" w14:textId="77777777" w:rsidR="006E0EBC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0.68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64BB8B" w14:textId="77777777" w:rsidR="006E0EBC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C7B928C" w14:textId="77777777" w:rsidR="006E0EBC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0.68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BB1D089" w14:textId="77777777" w:rsidR="006E0EBC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F9A0325" w14:textId="77777777" w:rsidR="006E0EBC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0.61</w:t>
            </w:r>
          </w:p>
        </w:tc>
      </w:tr>
      <w:tr w:rsidR="006E0EBC" w:rsidRPr="00DC1620" w14:paraId="54FBF061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8D716A4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Total distribution/accumulation rates from inception: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8C8CFD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097F9C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8.16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7131E7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944787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8.27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488F35D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ED113A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8.40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5BA9AC3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2D009A0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8.41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20E105A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95FC46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4.86</w:t>
            </w:r>
          </w:p>
        </w:tc>
      </w:tr>
    </w:tbl>
    <w:p w14:paraId="6041A91B" w14:textId="77777777" w:rsidR="006E0EBC" w:rsidRPr="0068514F" w:rsidRDefault="006E0EBC" w:rsidP="006E0EB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0151EA" w14:textId="77777777" w:rsidR="006E0EBC" w:rsidRDefault="006E0EBC" w:rsidP="006E0E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0676F" w14:textId="77777777" w:rsidR="006E0EBC" w:rsidRDefault="006E0EBC" w:rsidP="006E0E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514F">
        <w:rPr>
          <w:rFonts w:ascii="Times New Roman" w:hAnsi="Times New Roman" w:cs="Times New Roman"/>
          <w:b/>
          <w:bCs/>
          <w:sz w:val="20"/>
          <w:szCs w:val="20"/>
        </w:rPr>
        <w:t>C Class Shares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(pence/cents per share)</w:t>
      </w:r>
    </w:p>
    <w:p w14:paraId="657CD69A" w14:textId="77777777" w:rsidR="006E0EBC" w:rsidRPr="0068514F" w:rsidRDefault="006E0EBC" w:rsidP="006E0E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PlainTable1"/>
        <w:tblW w:w="6222" w:type="dxa"/>
        <w:tblLook w:val="04A0" w:firstRow="1" w:lastRow="0" w:firstColumn="1" w:lastColumn="0" w:noHBand="0" w:noVBand="1"/>
      </w:tblPr>
      <w:tblGrid>
        <w:gridCol w:w="3104"/>
        <w:gridCol w:w="1559"/>
        <w:gridCol w:w="1559"/>
      </w:tblGrid>
      <w:tr w:rsidR="006E0EBC" w:rsidRPr="00DC1620" w14:paraId="6DB50CE7" w14:textId="77777777" w:rsidTr="00EC5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141C484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Distribution Period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531CA503" w14:textId="77777777" w:rsidR="006E0EBC" w:rsidRPr="00DC1620" w:rsidRDefault="006E0EBC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C GBP Income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14:paraId="0CF3529D" w14:textId="77777777" w:rsidR="006E0EBC" w:rsidRPr="00DC1620" w:rsidRDefault="006E0EBC" w:rsidP="00EC52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C GBP Accumulation</w:t>
            </w:r>
          </w:p>
        </w:tc>
      </w:tr>
      <w:tr w:rsidR="006E0EBC" w:rsidRPr="00DC1620" w14:paraId="62B8BFC1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5BCD8C7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2020</w:t>
            </w:r>
            <w:r w:rsidRPr="00DC1620">
              <w:rPr>
                <w:rStyle w:val="FootnoteReference"/>
                <w:rFonts w:cstheme="minorHAnsi"/>
                <w:b w:val="0"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8D522A2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0.43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39E809C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0.43</w:t>
            </w:r>
          </w:p>
        </w:tc>
      </w:tr>
      <w:tr w:rsidR="006E0EBC" w:rsidRPr="00DC1620" w14:paraId="360A2C7A" w14:textId="77777777" w:rsidTr="00EC52D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4A13C35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88FA914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2.78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A56265A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2.81</w:t>
            </w:r>
          </w:p>
        </w:tc>
      </w:tr>
      <w:tr w:rsidR="006E0EBC" w:rsidRPr="00DC1620" w14:paraId="3F886EA9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591FBC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Q1 2022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92339D9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76F2FC5" w14:textId="77777777" w:rsidR="006E0EBC" w:rsidRPr="00DC1620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C1620">
              <w:rPr>
                <w:rFonts w:cstheme="minorHAnsi"/>
                <w:sz w:val="20"/>
                <w:szCs w:val="20"/>
              </w:rPr>
              <w:t>0.82</w:t>
            </w:r>
          </w:p>
        </w:tc>
      </w:tr>
      <w:tr w:rsidR="006E0EBC" w:rsidRPr="00DC1620" w14:paraId="5A5A5D06" w14:textId="77777777" w:rsidTr="00EC52D4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0A17EB" w14:textId="77777777" w:rsidR="006E0EBC" w:rsidRPr="00F36B35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36B35">
              <w:rPr>
                <w:rFonts w:cstheme="minorHAnsi"/>
                <w:b w:val="0"/>
                <w:bCs w:val="0"/>
                <w:sz w:val="20"/>
                <w:szCs w:val="20"/>
              </w:rPr>
              <w:t>Q2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E4479FF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1.04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4090D92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1.08</w:t>
            </w:r>
          </w:p>
        </w:tc>
      </w:tr>
      <w:tr w:rsidR="006E0EBC" w:rsidRPr="00DC1620" w14:paraId="67CBD8D8" w14:textId="77777777" w:rsidTr="00EC5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7AF97DA" w14:textId="77777777" w:rsidR="006E0EBC" w:rsidRPr="005732B2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732B2">
              <w:rPr>
                <w:rFonts w:cstheme="minorHAnsi"/>
                <w:b w:val="0"/>
                <w:bCs w:val="0"/>
                <w:sz w:val="20"/>
                <w:szCs w:val="20"/>
              </w:rPr>
              <w:t>Q3 2022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617CE3" w14:textId="77777777" w:rsidR="006E0EBC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00B926" w14:textId="77777777" w:rsidR="006E0EBC" w:rsidRDefault="006E0EBC" w:rsidP="00EC52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0.73</w:t>
            </w:r>
          </w:p>
        </w:tc>
      </w:tr>
      <w:tr w:rsidR="006E0EBC" w:rsidRPr="00DC1620" w14:paraId="38265A40" w14:textId="77777777" w:rsidTr="00EC52D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4AC1D8" w14:textId="77777777" w:rsidR="006E0EBC" w:rsidRPr="00DC1620" w:rsidRDefault="006E0EBC" w:rsidP="00EC52D4">
            <w:pPr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DC1620">
              <w:rPr>
                <w:rFonts w:cstheme="minorHAnsi"/>
                <w:b w:val="0"/>
                <w:bCs w:val="0"/>
                <w:sz w:val="20"/>
                <w:szCs w:val="20"/>
              </w:rPr>
              <w:t>Total distribution/accumulation rates from inception: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B3A1C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F11851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DC1620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3EB498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A2E48A" w14:textId="77777777" w:rsidR="006E0EBC" w:rsidRPr="00DC1620" w:rsidRDefault="006E0EBC" w:rsidP="00EC5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5.87</w:t>
            </w:r>
          </w:p>
        </w:tc>
      </w:tr>
    </w:tbl>
    <w:p w14:paraId="3261141B" w14:textId="77777777" w:rsidR="006E0EBC" w:rsidRPr="00A541DA" w:rsidRDefault="006E0EBC" w:rsidP="006E0EBC">
      <w:pPr>
        <w:rPr>
          <w:rFonts w:ascii="Times New Roman" w:hAnsi="Times New Roman" w:cs="Times New Roman"/>
        </w:rPr>
      </w:pPr>
    </w:p>
    <w:p w14:paraId="62A88EF3" w14:textId="77777777" w:rsidR="00590592" w:rsidRDefault="00590592"/>
    <w:sectPr w:rsidR="00590592" w:rsidSect="0068514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27275" w14:textId="77777777" w:rsidR="00711010" w:rsidRDefault="00711010" w:rsidP="006E0EBC">
      <w:r>
        <w:separator/>
      </w:r>
    </w:p>
  </w:endnote>
  <w:endnote w:type="continuationSeparator" w:id="0">
    <w:p w14:paraId="016C1C9C" w14:textId="77777777" w:rsidR="00711010" w:rsidRDefault="00711010" w:rsidP="006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9633" w14:textId="77777777" w:rsidR="003E7DCC" w:rsidRPr="003E7DCC" w:rsidRDefault="00000000" w:rsidP="003E7DCC">
    <w:pPr>
      <w:pStyle w:val="Footer"/>
      <w:rPr>
        <w:sz w:val="18"/>
        <w:szCs w:val="18"/>
      </w:rPr>
    </w:pPr>
    <w:r w:rsidRPr="003E7DCC">
      <w:rPr>
        <w:sz w:val="18"/>
        <w:szCs w:val="18"/>
      </w:rPr>
      <w:t xml:space="preserve">Chawton Global Investors LLP is a limited liability partnership registered in England with number 0C420699, registered office at Great Meadow, Lane End, </w:t>
    </w:r>
    <w:proofErr w:type="spellStart"/>
    <w:r w:rsidRPr="003E7DCC">
      <w:rPr>
        <w:sz w:val="18"/>
        <w:szCs w:val="18"/>
      </w:rPr>
      <w:t>Hambledon</w:t>
    </w:r>
    <w:proofErr w:type="spellEnd"/>
    <w:r w:rsidRPr="003E7DCC">
      <w:rPr>
        <w:sz w:val="18"/>
        <w:szCs w:val="18"/>
      </w:rPr>
      <w:t>, Surrey, GU8 4HE. Chawton Global Investors is authorised and regulated by the Financial Condu</w:t>
    </w:r>
    <w:r w:rsidRPr="003E7DCC">
      <w:rPr>
        <w:sz w:val="18"/>
        <w:szCs w:val="18"/>
      </w:rPr>
      <w:t>ct Authority.</w:t>
    </w:r>
  </w:p>
  <w:p w14:paraId="512DC9B7" w14:textId="77777777" w:rsidR="003E7DCC" w:rsidRPr="00092A11" w:rsidRDefault="0000000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EF63" w14:textId="77777777" w:rsidR="00711010" w:rsidRDefault="00711010" w:rsidP="006E0EBC">
      <w:r>
        <w:separator/>
      </w:r>
    </w:p>
  </w:footnote>
  <w:footnote w:type="continuationSeparator" w:id="0">
    <w:p w14:paraId="20A4D6C9" w14:textId="77777777" w:rsidR="00711010" w:rsidRDefault="00711010" w:rsidP="006E0EBC">
      <w:r>
        <w:continuationSeparator/>
      </w:r>
    </w:p>
  </w:footnote>
  <w:footnote w:id="1">
    <w:p w14:paraId="21D33A80" w14:textId="77777777" w:rsidR="006E0EBC" w:rsidRDefault="006E0EBC" w:rsidP="006E0EBC">
      <w:pPr>
        <w:pStyle w:val="FootnoteText"/>
      </w:pPr>
      <w:r>
        <w:rPr>
          <w:rStyle w:val="FootnoteReference"/>
        </w:rPr>
        <w:footnoteRef/>
      </w:r>
      <w:r>
        <w:t xml:space="preserve">Rounded to two decimal points. </w:t>
      </w:r>
    </w:p>
  </w:footnote>
  <w:footnote w:id="2">
    <w:p w14:paraId="3F77F3AD" w14:textId="77777777" w:rsidR="006E0EBC" w:rsidRDefault="006E0EBC" w:rsidP="006E0EBC">
      <w:pPr>
        <w:pStyle w:val="FootnoteText"/>
      </w:pPr>
      <w:r>
        <w:rPr>
          <w:rStyle w:val="FootnoteReference"/>
        </w:rPr>
        <w:footnoteRef/>
      </w:r>
      <w:r>
        <w:t xml:space="preserve">Chawton Global Investors started trading in May 2019. Income derived from trading activities in 2019 is therefore lower in comparison to subsequent years. </w:t>
      </w:r>
    </w:p>
  </w:footnote>
  <w:footnote w:id="3">
    <w:p w14:paraId="77CC1002" w14:textId="77777777" w:rsidR="006E0EBC" w:rsidRDefault="006E0EBC" w:rsidP="006E0EBC">
      <w:pPr>
        <w:pStyle w:val="FootnoteText"/>
      </w:pPr>
      <w:r>
        <w:rPr>
          <w:rStyle w:val="FootnoteReference"/>
        </w:rPr>
        <w:footnoteRef/>
      </w:r>
      <w:r>
        <w:t xml:space="preserve">Chawton Global Investors started trading in May 2019. Income derived from trading activities in 2019 is therefore lower in comparison to subsequent years. </w:t>
      </w:r>
    </w:p>
    <w:p w14:paraId="6A8F0699" w14:textId="77777777" w:rsidR="006E0EBC" w:rsidRDefault="006E0EBC" w:rsidP="006E0EBC">
      <w:pPr>
        <w:pStyle w:val="FootnoteText"/>
      </w:pPr>
      <w:r>
        <w:t xml:space="preserve">is no 2019 income. </w:t>
      </w:r>
    </w:p>
    <w:p w14:paraId="0BFD0EC0" w14:textId="77777777" w:rsidR="006E0EBC" w:rsidRDefault="006E0EBC" w:rsidP="006E0EB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BC"/>
    <w:rsid w:val="00590592"/>
    <w:rsid w:val="005A3BC0"/>
    <w:rsid w:val="006E0EBC"/>
    <w:rsid w:val="00711010"/>
    <w:rsid w:val="0071782F"/>
    <w:rsid w:val="0092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16EEA"/>
  <w15:chartTrackingRefBased/>
  <w15:docId w15:val="{4DC54FCC-24AA-2E4E-A3B8-AB3BA329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E0EB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0E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EB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E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Junik Rakipi75</dc:creator>
  <cp:keywords/>
  <dc:description/>
  <cp:lastModifiedBy>Junik Rakipi75</cp:lastModifiedBy>
  <cp:revision>1</cp:revision>
  <dcterms:created xsi:type="dcterms:W3CDTF">2023-01-16T12:55:00Z</dcterms:created>
  <dcterms:modified xsi:type="dcterms:W3CDTF">2023-01-16T13:03:00Z</dcterms:modified>
</cp:coreProperties>
</file>